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2FEF" w14:textId="77777777" w:rsidR="00E63BD2" w:rsidRDefault="00E63BD2" w:rsidP="00DA76EB">
      <w:pPr>
        <w:ind w:left="-993" w:right="-1134"/>
        <w:jc w:val="center"/>
        <w:rPr>
          <w:b/>
          <w:bCs/>
          <w:sz w:val="56"/>
          <w:szCs w:val="56"/>
        </w:rPr>
      </w:pPr>
    </w:p>
    <w:p w14:paraId="61D8C7E6" w14:textId="480F4D2A" w:rsidR="006C71F6" w:rsidRPr="00DA76EB" w:rsidRDefault="001E7061" w:rsidP="00DA76EB">
      <w:pPr>
        <w:ind w:left="-993" w:right="-1134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CHEMIN DES ITALIENS</w:t>
      </w:r>
      <w:r w:rsidR="004C446D">
        <w:rPr>
          <w:b/>
          <w:bCs/>
          <w:sz w:val="56"/>
          <w:szCs w:val="56"/>
        </w:rPr>
        <w:t xml:space="preserve"> – CIME DE MERLIER</w:t>
      </w:r>
    </w:p>
    <w:p w14:paraId="53328FE4" w14:textId="55C70E85" w:rsidR="00DA76EB" w:rsidRPr="00DA76EB" w:rsidRDefault="00DA76EB" w:rsidP="00DA76EB">
      <w:pPr>
        <w:ind w:left="-993" w:right="-1134"/>
        <w:jc w:val="center"/>
        <w:rPr>
          <w:b/>
          <w:bCs/>
          <w:sz w:val="24"/>
          <w:szCs w:val="24"/>
        </w:rPr>
      </w:pPr>
    </w:p>
    <w:p w14:paraId="3C588851" w14:textId="48339E28" w:rsidR="00DA76EB" w:rsidRPr="004D6870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Type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Pédestre</w:t>
      </w:r>
    </w:p>
    <w:p w14:paraId="7F474C87" w14:textId="2B70122C" w:rsidR="004D6870" w:rsidRPr="00DA76EB" w:rsidRDefault="004D6870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Niveau :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</w:t>
      </w:r>
      <w:r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Moyen </w:t>
      </w:r>
    </w:p>
    <w:p w14:paraId="2B72615F" w14:textId="27AAB7E2" w:rsidR="00DA76EB" w:rsidRPr="00DA76EB" w:rsidRDefault="00DA76EB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r w:rsidRPr="004D6870">
        <w:rPr>
          <w:rFonts w:ascii="Roboto" w:eastAsia="Times New Roman" w:hAnsi="Roboto" w:cs="Times New Roman"/>
          <w:color w:val="4A7847"/>
          <w:sz w:val="24"/>
          <w:szCs w:val="24"/>
          <w:u w:val="single"/>
          <w:lang w:eastAsia="fr-FR"/>
        </w:rPr>
        <w:t>Commune</w:t>
      </w:r>
      <w:r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 xml:space="preserve"> : </w:t>
      </w:r>
      <w:r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Isola 2000</w:t>
      </w:r>
    </w:p>
    <w:p w14:paraId="5E0E3A19" w14:textId="0575EEDD" w:rsidR="00DA76EB" w:rsidRPr="00DA76EB" w:rsidRDefault="00E63BD2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5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Dénivelée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+500 mètres</w:t>
      </w:r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</w:t>
      </w:r>
    </w:p>
    <w:p w14:paraId="62D7C0F3" w14:textId="56076475" w:rsidR="00DA76EB" w:rsidRPr="00DA76EB" w:rsidRDefault="00E63BD2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6" w:anchor="c22825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Durée 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: </w:t>
      </w:r>
      <w:r w:rsidR="001E706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5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heures</w:t>
      </w:r>
      <w:r w:rsidR="001E706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AR</w:t>
      </w:r>
    </w:p>
    <w:p w14:paraId="0A120B63" w14:textId="63D76B78" w:rsidR="00DA76EB" w:rsidRPr="00DA76EB" w:rsidRDefault="00E63BD2" w:rsidP="00DA76E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</w:pPr>
      <w:hyperlink r:id="rId7" w:anchor="c22839" w:history="1">
        <w:r w:rsidR="00DA76EB" w:rsidRPr="00DA76EB">
          <w:rPr>
            <w:rFonts w:ascii="Roboto" w:eastAsia="Times New Roman" w:hAnsi="Roboto" w:cs="Times New Roman"/>
            <w:color w:val="4A7847"/>
            <w:sz w:val="24"/>
            <w:szCs w:val="24"/>
            <w:u w:val="single"/>
            <w:lang w:eastAsia="fr-FR"/>
          </w:rPr>
          <w:t>Période conseillée</w:t>
        </w:r>
      </w:hyperlink>
      <w:r w:rsidR="00DA76EB" w:rsidRPr="00DA76EB">
        <w:rPr>
          <w:rFonts w:ascii="Roboto" w:eastAsia="Times New Roman" w:hAnsi="Roboto" w:cs="Times New Roman"/>
          <w:color w:val="000000"/>
          <w:sz w:val="24"/>
          <w:szCs w:val="24"/>
          <w:lang w:eastAsia="fr-FR"/>
        </w:rPr>
        <w:t> : </w:t>
      </w:r>
      <w:r w:rsidR="00DA76EB" w:rsidRPr="00DA76EB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Juillet à Octobre</w:t>
      </w:r>
    </w:p>
    <w:p w14:paraId="714B9806" w14:textId="29497DD4" w:rsidR="00DA76EB" w:rsidRDefault="00E63BD2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</w:pPr>
      <w:hyperlink r:id="rId8" w:anchor="c22892" w:history="1">
        <w:r w:rsidR="00DA76EB" w:rsidRPr="00DA76EB">
          <w:rPr>
            <w:rFonts w:ascii="Roboto" w:eastAsia="Times New Roman" w:hAnsi="Roboto" w:cs="Times New Roman"/>
            <w:color w:val="4A7847"/>
            <w:u w:val="single"/>
            <w:lang w:eastAsia="fr-FR"/>
          </w:rPr>
          <w:t>Cartographie spécifique</w:t>
        </w:r>
      </w:hyperlink>
      <w:r w:rsidR="00DA76EB" w:rsidRPr="00DA76EB">
        <w:rPr>
          <w:rFonts w:ascii="Roboto" w:eastAsia="Times New Roman" w:hAnsi="Roboto" w:cs="Times New Roman"/>
          <w:color w:val="000000"/>
          <w:lang w:eastAsia="fr-FR"/>
        </w:rPr>
        <w:t> : 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“Haute Tinée 2” TOP 25 n° 36</w:t>
      </w:r>
      <w:r w:rsidR="001E7061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39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 xml:space="preserve"> ET </w:t>
      </w:r>
      <w:proofErr w:type="gramStart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1:</w:t>
      </w:r>
      <w:proofErr w:type="gramEnd"/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fr-FR"/>
        </w:rPr>
        <w:t>25.000</w:t>
      </w:r>
      <w:r w:rsidR="00DA76EB" w:rsidRPr="004D6870">
        <w:rPr>
          <w:rFonts w:ascii="Roboto" w:eastAsia="Times New Roman" w:hAnsi="Roboto" w:cs="Times New Roman"/>
          <w:b/>
          <w:bCs/>
          <w:color w:val="000000"/>
          <w:sz w:val="24"/>
          <w:szCs w:val="24"/>
          <w:vertAlign w:val="superscript"/>
          <w:lang w:eastAsia="fr-FR"/>
        </w:rPr>
        <w:t>e</w:t>
      </w:r>
    </w:p>
    <w:p w14:paraId="0FB1D083" w14:textId="16B3EBAD" w:rsidR="004D6870" w:rsidRPr="00DA76EB" w:rsidRDefault="00AC1087" w:rsidP="00DA76EB">
      <w:pPr>
        <w:shd w:val="clear" w:color="auto" w:fill="FFFFFF"/>
        <w:spacing w:after="0" w:line="240" w:lineRule="auto"/>
        <w:ind w:left="720"/>
        <w:rPr>
          <w:rFonts w:ascii="Roboto" w:eastAsia="Times New Roman" w:hAnsi="Roboto" w:cs="Times New Roman"/>
          <w:color w:val="000000"/>
          <w:lang w:eastAsia="fr-FR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A2F78D8" wp14:editId="11E81314">
            <wp:simplePos x="0" y="0"/>
            <wp:positionH relativeFrom="margin">
              <wp:align>center</wp:align>
            </wp:positionH>
            <wp:positionV relativeFrom="paragraph">
              <wp:posOffset>201930</wp:posOffset>
            </wp:positionV>
            <wp:extent cx="6115050" cy="2190750"/>
            <wp:effectExtent l="0" t="0" r="0" b="0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2AEBE" w14:textId="7A688499" w:rsidR="00DA76EB" w:rsidRDefault="00DA76EB" w:rsidP="001E7061">
      <w:pPr>
        <w:pStyle w:val="NormalWeb"/>
        <w:shd w:val="clear" w:color="auto" w:fill="FFFFFF"/>
        <w:spacing w:before="75" w:beforeAutospacing="0" w:after="150" w:afterAutospacing="0"/>
        <w:ind w:left="-1134"/>
        <w:jc w:val="center"/>
        <w:rPr>
          <w:rFonts w:ascii="Roboto" w:hAnsi="Roboto"/>
          <w:color w:val="000000"/>
          <w:sz w:val="28"/>
          <w:szCs w:val="28"/>
        </w:rPr>
      </w:pPr>
    </w:p>
    <w:p w14:paraId="53AB5791" w14:textId="2D5CD4C1" w:rsidR="00DA76EB" w:rsidRDefault="00DA76EB" w:rsidP="001E7061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 w:rsidRPr="00DA76EB">
        <w:rPr>
          <w:rFonts w:ascii="Roboto" w:hAnsi="Roboto"/>
          <w:color w:val="000000"/>
          <w:sz w:val="28"/>
          <w:szCs w:val="28"/>
        </w:rPr>
        <w:t>D</w:t>
      </w:r>
      <w:r w:rsidR="001E7061">
        <w:rPr>
          <w:rFonts w:ascii="Roboto" w:hAnsi="Roboto"/>
          <w:color w:val="000000"/>
          <w:sz w:val="28"/>
          <w:szCs w:val="28"/>
        </w:rPr>
        <w:t xml:space="preserve">u « Front de neige » (b.80), traverser le pont </w:t>
      </w:r>
      <w:proofErr w:type="spellStart"/>
      <w:r w:rsidR="001E7061">
        <w:rPr>
          <w:rFonts w:ascii="Roboto" w:hAnsi="Roboto"/>
          <w:color w:val="000000"/>
          <w:sz w:val="28"/>
          <w:szCs w:val="28"/>
        </w:rPr>
        <w:t>Chapland</w:t>
      </w:r>
      <w:proofErr w:type="spellEnd"/>
      <w:r w:rsidR="001E7061">
        <w:rPr>
          <w:rFonts w:ascii="Roboto" w:hAnsi="Roboto"/>
          <w:color w:val="000000"/>
          <w:sz w:val="28"/>
          <w:szCs w:val="28"/>
        </w:rPr>
        <w:t xml:space="preserve"> (b.81) qui enjambe le ruisseau du Chastillon, et remonter la piste en direction du chemin des Italiens.</w:t>
      </w:r>
    </w:p>
    <w:p w14:paraId="5D5ABC77" w14:textId="2D9C32C6" w:rsidR="001E7061" w:rsidRDefault="001E7061" w:rsidP="001E7061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Passer sous la télécabine du Mercantour (b.82), franchir un petit tunnel militaire et poursuivre en légère ascendance vers les télésièges de la </w:t>
      </w:r>
      <w:proofErr w:type="spellStart"/>
      <w:r>
        <w:rPr>
          <w:rFonts w:ascii="Roboto" w:hAnsi="Roboto"/>
          <w:color w:val="000000"/>
          <w:sz w:val="28"/>
          <w:szCs w:val="28"/>
        </w:rPr>
        <w:t>Génisserie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et de </w:t>
      </w:r>
      <w:proofErr w:type="spellStart"/>
      <w:r>
        <w:rPr>
          <w:rFonts w:ascii="Roboto" w:hAnsi="Roboto"/>
          <w:color w:val="000000"/>
          <w:sz w:val="28"/>
          <w:szCs w:val="28"/>
        </w:rPr>
        <w:t>Merlier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(b.83)</w:t>
      </w:r>
      <w:r w:rsidR="00967B50">
        <w:rPr>
          <w:rFonts w:ascii="Roboto" w:hAnsi="Roboto"/>
          <w:color w:val="000000"/>
          <w:sz w:val="28"/>
          <w:szCs w:val="28"/>
        </w:rPr>
        <w:t>.</w:t>
      </w:r>
    </w:p>
    <w:p w14:paraId="5C54AE58" w14:textId="3CD9D8AD" w:rsidR="00967B50" w:rsidRDefault="00967B50" w:rsidP="001E7061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Les pistes de ski coupent </w:t>
      </w:r>
      <w:proofErr w:type="spellStart"/>
      <w:r>
        <w:rPr>
          <w:rFonts w:ascii="Roboto" w:hAnsi="Roboto"/>
          <w:color w:val="000000"/>
          <w:sz w:val="28"/>
          <w:szCs w:val="28"/>
        </w:rPr>
        <w:t>ça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et là la continuité du chemin qu’on retrouve néanmoins pour la montée en lacets vers la baisse de </w:t>
      </w:r>
      <w:proofErr w:type="spellStart"/>
      <w:r>
        <w:rPr>
          <w:rFonts w:ascii="Roboto" w:hAnsi="Roboto"/>
          <w:color w:val="000000"/>
          <w:sz w:val="28"/>
          <w:szCs w:val="28"/>
        </w:rPr>
        <w:t>Merlier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(2 396m-b.74).</w:t>
      </w:r>
    </w:p>
    <w:p w14:paraId="0C5A46B5" w14:textId="55563DAB" w:rsidR="00967B50" w:rsidRPr="00DA76EB" w:rsidRDefault="00967B50" w:rsidP="001E7061">
      <w:pPr>
        <w:pStyle w:val="NormalWeb"/>
        <w:shd w:val="clear" w:color="auto" w:fill="FFFFFF"/>
        <w:spacing w:before="75" w:beforeAutospacing="0" w:after="150" w:afterAutospacing="0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 xml:space="preserve">Poursuivre à gauche (Sud-Est) vers la croix et la </w:t>
      </w:r>
      <w:proofErr w:type="spellStart"/>
      <w:r>
        <w:rPr>
          <w:rFonts w:ascii="Roboto" w:hAnsi="Roboto"/>
          <w:color w:val="000000"/>
          <w:sz w:val="28"/>
          <w:szCs w:val="28"/>
        </w:rPr>
        <w:t>cesemate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de la cime de </w:t>
      </w:r>
      <w:proofErr w:type="spellStart"/>
      <w:r>
        <w:rPr>
          <w:rFonts w:ascii="Roboto" w:hAnsi="Roboto"/>
          <w:color w:val="000000"/>
          <w:sz w:val="28"/>
          <w:szCs w:val="28"/>
        </w:rPr>
        <w:t>Merlier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(2 500m-b.85) avant la descente sur le collet de </w:t>
      </w:r>
      <w:proofErr w:type="spellStart"/>
      <w:r>
        <w:rPr>
          <w:rFonts w:ascii="Roboto" w:hAnsi="Roboto"/>
          <w:color w:val="000000"/>
          <w:sz w:val="28"/>
          <w:szCs w:val="28"/>
        </w:rPr>
        <w:t>Sistron</w:t>
      </w:r>
      <w:proofErr w:type="spellEnd"/>
      <w:r>
        <w:rPr>
          <w:rFonts w:ascii="Roboto" w:hAnsi="Roboto"/>
          <w:color w:val="000000"/>
          <w:sz w:val="28"/>
          <w:szCs w:val="28"/>
        </w:rPr>
        <w:t xml:space="preserve"> (b.84) et le chemin des Italiens (b.83). Reprendre depuis ce point l’itinéraire à l’aller jusqu’à la station.</w:t>
      </w:r>
    </w:p>
    <w:p w14:paraId="5084E559" w14:textId="1B68825C" w:rsidR="00DA76EB" w:rsidRPr="00DA76EB" w:rsidRDefault="00DA76EB" w:rsidP="00DA76EB">
      <w:pPr>
        <w:ind w:left="-993" w:right="-1134"/>
        <w:rPr>
          <w:b/>
          <w:bCs/>
          <w:sz w:val="24"/>
          <w:szCs w:val="24"/>
        </w:rPr>
      </w:pPr>
    </w:p>
    <w:sectPr w:rsidR="00DA76EB" w:rsidRPr="00DA76EB" w:rsidSect="00DA76E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0416"/>
    <w:multiLevelType w:val="multilevel"/>
    <w:tmpl w:val="DEEA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73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B"/>
    <w:rsid w:val="001E7061"/>
    <w:rsid w:val="004C446D"/>
    <w:rsid w:val="004D6870"/>
    <w:rsid w:val="006C71F6"/>
    <w:rsid w:val="00967B50"/>
    <w:rsid w:val="00AC1087"/>
    <w:rsid w:val="00DA76EB"/>
    <w:rsid w:val="00E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064"/>
  <w15:chartTrackingRefBased/>
  <w15:docId w15:val="{6327CC80-0575-46F7-8FDA-C829C3CC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xygene.departement06.fr/informations-pratiques-et-securite/informations-pratiques-haut-pays-902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ndoxygene.departement06.fr/informations-pratiques-et-securite/informations-pratiques-haut-pays-90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doxygene.departement06.fr/informations-pratiques-et-securite/informations-pratiques-haut-pays-902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andoxygene.departement06.fr/informations-pratiques-et-securite/informations-pratiques-haut-pays-9023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cp:lastPrinted>2022-08-11T10:26:00Z</cp:lastPrinted>
  <dcterms:created xsi:type="dcterms:W3CDTF">2022-03-18T10:20:00Z</dcterms:created>
  <dcterms:modified xsi:type="dcterms:W3CDTF">2022-08-11T11:49:00Z</dcterms:modified>
</cp:coreProperties>
</file>